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26" w:rsidRDefault="009F67F8">
      <w:pPr>
        <w:wordWrap w:val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Table S1 List of 153 genes associated with epilepsy in the MyGenostics panel</w:t>
      </w:r>
    </w:p>
    <w:p w:rsidR="00CB2526" w:rsidRDefault="00CB2526">
      <w:pPr>
        <w:wordWrap w:val="0"/>
        <w:rPr>
          <w:sz w:val="24"/>
          <w:szCs w:val="24"/>
        </w:rPr>
      </w:pPr>
    </w:p>
    <w:tbl>
      <w:tblPr>
        <w:tblW w:w="80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20"/>
        <w:gridCol w:w="1152"/>
        <w:gridCol w:w="1152"/>
        <w:gridCol w:w="1152"/>
        <w:gridCol w:w="1152"/>
        <w:gridCol w:w="1134"/>
      </w:tblGrid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ADSL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CHD2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DHFR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GLB1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MAGI2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PNPO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SLC9A6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ALDH7A1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CHRNA2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DIAPH3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GLRA1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MAPK10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POLG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SPTAN1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ALG13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CHRNA4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DNAJC6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GPR56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MBD5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PPT1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SRPX2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ARG1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CHRNA7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DNM1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GPR98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MDGA2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PROC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ST3GAL2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ARHGEF15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CHRNB2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DOCK7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GRIN1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PRRT2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ST3GAL5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ARHGEF9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CLCN2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EEF1A2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GRIN2A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MECP2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RBFOX1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STRADA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ARX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CLCN4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EFHC1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GRIN2B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MEF2C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RBFOX2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STXBP1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ASAH1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CLN3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ELP4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HAX1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MFSD8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RBFOX3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SYNGAP1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ATP13A4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CLN5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EPHB2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HDAC4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MTHFR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RELN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SYNJ1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ATP1A2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CLN6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ErbB4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HEXA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MTOR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RYR3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SZT2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ATP1A3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CLN8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FASN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HEXB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NDE1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SCN1A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TBC1D24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ATP6AP2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CNTN5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FLNA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HNRNPH1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NEDD4L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SCN1B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TCF4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ATP7A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CNTNAP2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FOLR1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HNRNPU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NID2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SCN2A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TNK2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BRAF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COX6B1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FOXG1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IQSEC2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NRXN1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SCN8A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TPP1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BSN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CSTB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FOXP2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KCNB1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PAFAH1B1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SHANK3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TSC1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CACNA1A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CTNNA3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GABBR2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KCNH5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PCDH19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SLC13A5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TSC2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CACNA1H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CTSD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GABRA1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KCNMA1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PDHA1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SLC19A3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TUBA1A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CACNB4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CYB5R3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GABRA6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KCNQ2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PIGA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SLC1A3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UBE3A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CASK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DBH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GABRB2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KCNQ3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PIGV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SLC25A22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VRK2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CDH13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DCX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GABRB3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KCNT1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PLCB1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SLC2A1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WDR45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CDH9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DEPDC5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GABRD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LGI1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PNKD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SLC35A2 </w:t>
            </w:r>
          </w:p>
        </w:tc>
        <w:tc>
          <w:tcPr>
            <w:tcW w:w="113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ZEB2 </w:t>
            </w:r>
          </w:p>
        </w:tc>
      </w:tr>
      <w:tr w:rsidR="00CB2526">
        <w:trPr>
          <w:trHeight w:val="95"/>
        </w:trPr>
        <w:tc>
          <w:tcPr>
            <w:tcW w:w="1384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CDKL5 </w:t>
            </w:r>
          </w:p>
        </w:tc>
        <w:tc>
          <w:tcPr>
            <w:tcW w:w="920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DGKD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GABRG2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LIAS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PNKP </w:t>
            </w:r>
          </w:p>
        </w:tc>
        <w:tc>
          <w:tcPr>
            <w:tcW w:w="1152" w:type="dxa"/>
          </w:tcPr>
          <w:p w:rsidR="00CB2526" w:rsidRDefault="009F67F8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SLC46A1</w:t>
            </w:r>
          </w:p>
        </w:tc>
        <w:tc>
          <w:tcPr>
            <w:tcW w:w="1134" w:type="dxa"/>
          </w:tcPr>
          <w:p w:rsidR="00CB2526" w:rsidRDefault="00CB2526">
            <w:pPr>
              <w:pStyle w:val="Default"/>
              <w:wordWrap w:val="0"/>
              <w:jc w:val="left"/>
              <w:rPr>
                <w:sz w:val="21"/>
                <w:szCs w:val="21"/>
              </w:rPr>
            </w:pPr>
          </w:p>
        </w:tc>
      </w:tr>
    </w:tbl>
    <w:p w:rsidR="00CB2526" w:rsidRDefault="00CB2526">
      <w:pPr>
        <w:wordWrap w:val="0"/>
        <w:jc w:val="left"/>
      </w:pPr>
    </w:p>
    <w:p w:rsidR="002970A8" w:rsidRDefault="009F67F8">
      <w:pPr>
        <w:sectPr w:rsidR="002970A8">
          <w:pgSz w:w="11906" w:h="16838"/>
          <w:pgMar w:top="1701" w:right="1440" w:bottom="1440" w:left="1440" w:header="708" w:footer="708" w:gutter="0"/>
          <w:cols w:space="720"/>
          <w:docGrid w:linePitch="360" w:charSpace="6144"/>
        </w:sectPr>
      </w:pPr>
      <w:r>
        <w:br w:type="page"/>
      </w:r>
    </w:p>
    <w:p w:rsidR="002970A8" w:rsidRDefault="002970A8"/>
    <w:p w:rsidR="00CB2526" w:rsidRDefault="00CB2526">
      <w:pPr>
        <w:wordWrap w:val="0"/>
        <w:rPr>
          <w:sz w:val="24"/>
          <w:szCs w:val="24"/>
        </w:rPr>
      </w:pPr>
    </w:p>
    <w:p w:rsidR="00CB2526" w:rsidRDefault="009F67F8">
      <w:pPr>
        <w:wordWrap w:val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Table S2 The ddPCR results in 20 </w:t>
      </w:r>
      <w:r>
        <w:rPr>
          <w:rFonts w:eastAsia="Times New Roman"/>
          <w:i/>
          <w:sz w:val="24"/>
          <w:szCs w:val="24"/>
        </w:rPr>
        <w:t>PCDH19</w:t>
      </w:r>
      <w:r>
        <w:rPr>
          <w:rFonts w:eastAsia="Times New Roman"/>
          <w:sz w:val="24"/>
          <w:szCs w:val="24"/>
        </w:rPr>
        <w:t>-related epileptic families</w:t>
      </w:r>
    </w:p>
    <w:p w:rsidR="00CB2526" w:rsidRDefault="00CB2526">
      <w:pPr>
        <w:wordWrap w:val="0"/>
        <w:jc w:val="left"/>
        <w:rPr>
          <w:sz w:val="24"/>
          <w:szCs w:val="24"/>
        </w:rPr>
      </w:pPr>
    </w:p>
    <w:tbl>
      <w:tblPr>
        <w:tblW w:w="13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1"/>
        <w:gridCol w:w="1424"/>
        <w:gridCol w:w="1276"/>
        <w:gridCol w:w="1134"/>
        <w:gridCol w:w="1134"/>
        <w:gridCol w:w="1559"/>
        <w:gridCol w:w="1559"/>
        <w:gridCol w:w="2410"/>
      </w:tblGrid>
      <w:tr w:rsidR="00CB2526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Subject No.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Sample</w:t>
            </w:r>
          </w:p>
        </w:tc>
        <w:tc>
          <w:tcPr>
            <w:tcW w:w="38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Drop count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Mutant allelic fraction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/>
                <w:color w:val="000000" w:themeColor="text1"/>
                <w:sz w:val="22"/>
                <w:szCs w:val="22"/>
              </w:rPr>
              <w:t xml:space="preserve">PCDH19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Mutation</w:t>
            </w:r>
          </w:p>
        </w:tc>
      </w:tr>
      <w:tr w:rsidR="00CB2526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CB2526" w:rsidRDefault="00CB2526"/>
        </w:tc>
        <w:tc>
          <w:tcPr>
            <w:tcW w:w="141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CB2526" w:rsidRDefault="00CB2526"/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Total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Mutant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Wild 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Mean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95%L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95%U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CB2526" w:rsidRDefault="00CB2526"/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9445727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11516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11470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50.10%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49.45%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50.75%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8468678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21036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13.66%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13.23%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14.10%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hair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9710907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4.16%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3.51%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4.88%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buccal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9838316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21175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18.28%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17.81%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18.75%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nail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10029597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37.38%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36.81%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37.96%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saliva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10808241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12.12%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11.77%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12.46%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urine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10106162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31.31%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22.36%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41.41%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semen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10347332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23743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15.76%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15.33%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16.19%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001M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9724717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20173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c.488T&gt;G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9158314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23284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47.39%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46.95%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47.83%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c.1347_1348insAAC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002F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9138940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18254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0.04%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c.1347_1348insAAC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002M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8523214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63371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c.1347_1348insAAC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9858580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41321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40570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50.46%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50.12%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50.80%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003F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8885706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003M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8842757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34161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004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8641995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50.55%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49.97%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51.13%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004M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8198298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11157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51.53%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50.86%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52.20%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004MGF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7747185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004MGM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8792515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35666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8412186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50.37%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49.94%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50.81%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c.1017delC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006F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8863596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13617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c.1017delC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006M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8578199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16667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17153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49.28%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48.75%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49.82%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c.1017delC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007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8940039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12775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12691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50.16%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49.55%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50.78%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C.790G&gt;C</w:t>
            </w:r>
          </w:p>
        </w:tc>
      </w:tr>
    </w:tbl>
    <w:p w:rsidR="00CB2526" w:rsidRDefault="00CB2526">
      <w:pPr>
        <w:wordWrap w:val="0"/>
        <w:rPr>
          <w:rFonts w:ascii="宋体" w:hAnsi="宋体"/>
          <w:sz w:val="20"/>
          <w:szCs w:val="20"/>
        </w:rPr>
      </w:pPr>
    </w:p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1276"/>
        <w:gridCol w:w="1411"/>
        <w:gridCol w:w="1424"/>
        <w:gridCol w:w="1276"/>
        <w:gridCol w:w="1134"/>
        <w:gridCol w:w="1134"/>
        <w:gridCol w:w="1559"/>
        <w:gridCol w:w="1559"/>
        <w:gridCol w:w="2410"/>
      </w:tblGrid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007F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9442598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14888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99.69%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99.58%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99.77%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C.790G&gt;C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007M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8805498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29913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C.790G&gt;C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008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9261374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8546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8496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50.15%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49.39%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50.90%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c.1184G&gt;C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008F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9578248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18543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c.1184G&gt;C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008M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8661868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25828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c.1184G&gt;C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011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9244373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5944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5847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50.41%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49.50%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51.32%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c.1375C&gt;T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9286472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16650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c.1375C&gt;T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011M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8979903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33654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c.1375C&gt;T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9499990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51.24%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47.31%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55.17%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013S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9609107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46.87%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44.53%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49.23%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9961261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1649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17.09%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15.46%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18.82%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buccal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8705715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2056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22440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8.39%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8.05%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8.75%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nail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10558801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12407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1.27%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1.08%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1.48%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saliva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10420060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1555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9231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14.42%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13.76%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15.09%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urine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10562064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3.35%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1.54%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6.26%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semen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9111565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2080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19.13%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17.63%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20.70%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013M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10548038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2267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0.25%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c.370G&gt;A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6801232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10830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10586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50.57%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49.90%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54.54%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8364969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12649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49.38%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8629970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10850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11104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49.42%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48.76%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48.44%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hair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9748038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49.64%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44.75%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53.17%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saliva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8362733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13688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47.83%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47.23%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48.44%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urine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9674086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47.20%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41.30%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53.17%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014MGM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7816940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32882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0.04%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014FGF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9566760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32882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014FGM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8802810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31787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c.1240G&gt;A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016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10025222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12628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13140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48.39%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49.62%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016F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9402591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4637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0.08%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016M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7887228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20172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c.1019A&gt;G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9704797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14538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14478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50.10%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49.53%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50.68%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c.695A&gt;G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017F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9846025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6111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0.06%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c.695A&gt;G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017M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10715290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17850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c.695A&gt;G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020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9854513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1955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49.76%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48.18%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51.33%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c.471C&gt;A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020F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10589917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1297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0.28%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c.471C&gt;A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020M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9810489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1292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0.29%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c.471C&gt;A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9772903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27982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28081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49.91%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49.50%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50.33%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c.964G&gt;C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021F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10926262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16607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c.964G&gt;C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021M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9881127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55599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c.964G&gt;C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9833568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11990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2780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81.18%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80.54%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81.81%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hair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9903094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3893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98.46%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98.02%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98.82%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buccal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10103157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16261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4182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79.54%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78.98%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80.09%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nail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9648471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67.43%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63.23%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71.42%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saliva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10328252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81.16%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78.36%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83.75%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urine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10205476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78.67%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67.68%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87.29%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10559849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5369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0.07%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hair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10875091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3021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0.12%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buccal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9284060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25299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nail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9911513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20824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0.03%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0.09%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saliva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9278855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13583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urine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10377045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0.86%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semen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8810601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30987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9444803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18906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hair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8973370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1466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0.25%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buccal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9814500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41247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nail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9970224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872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0.80%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0.32%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1.63%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saliva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10213711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12680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0.04%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025M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urine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10080266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31412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c.317T&gt;A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9361738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8218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13945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37.08%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36.44%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37.72%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c158_159insT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026F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10060282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14739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0.03%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c158_159insT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026M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9400294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15980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0.02%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c158_159insT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027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9296126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9327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9540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49.44%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48.72%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50.15%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c.262G&gt;T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027F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10523650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0.39%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c.262G&gt;T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027M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8907582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13684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0.04%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c.262G&gt;T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029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10209863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3396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26.72%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25.45%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28.01%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c.2341delA</w:t>
            </w:r>
          </w:p>
        </w:tc>
      </w:tr>
      <w:tr w:rsidR="00CB2526">
        <w:trPr>
          <w:trHeight w:val="300"/>
        </w:trPr>
        <w:tc>
          <w:tcPr>
            <w:tcW w:w="1276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029F</w:t>
            </w:r>
          </w:p>
        </w:tc>
        <w:tc>
          <w:tcPr>
            <w:tcW w:w="1411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10304373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5737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0.06%</w:t>
            </w:r>
          </w:p>
        </w:tc>
        <w:tc>
          <w:tcPr>
            <w:tcW w:w="2410" w:type="dxa"/>
            <w:shd w:val="clear" w:color="000000" w:fill="auto"/>
            <w:tcMar>
              <w:left w:w="14" w:type="dxa"/>
              <w:right w:w="14" w:type="dxa"/>
            </w:tcMar>
            <w:vAlign w:val="center"/>
          </w:tcPr>
          <w:p w:rsidR="00CB2526" w:rsidRDefault="009F67F8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c.2341delA</w:t>
            </w:r>
          </w:p>
        </w:tc>
      </w:tr>
      <w:tr w:rsidR="00A32002" w:rsidRPr="00156ED8" w:rsidTr="00C64B9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76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0</w:t>
            </w: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29</w:t>
            </w:r>
            <w:r w:rsidRPr="00156ED8">
              <w:rPr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1411" w:type="dxa"/>
            <w:shd w:val="clear" w:color="00000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32002" w:rsidRDefault="00A32002" w:rsidP="00A32002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8634163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5401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0.07%</w:t>
            </w:r>
          </w:p>
        </w:tc>
        <w:tc>
          <w:tcPr>
            <w:tcW w:w="2410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c.2341delA</w:t>
            </w:r>
          </w:p>
        </w:tc>
      </w:tr>
      <w:tr w:rsidR="00A32002" w:rsidRPr="00156ED8" w:rsidTr="00C64B9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76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0</w:t>
            </w: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1" w:type="dxa"/>
            <w:shd w:val="clear" w:color="00000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32002" w:rsidRDefault="00A32002" w:rsidP="00A32002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10320964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4670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4694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49.87%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48.85%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50.89%</w:t>
            </w:r>
          </w:p>
        </w:tc>
        <w:tc>
          <w:tcPr>
            <w:tcW w:w="2410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c.964G&gt;C</w:t>
            </w:r>
          </w:p>
        </w:tc>
      </w:tr>
      <w:tr w:rsidR="00A32002" w:rsidRPr="00156ED8" w:rsidTr="00C64B9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76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0</w:t>
            </w: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30</w:t>
            </w:r>
            <w:r w:rsidRPr="00156ED8"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1411" w:type="dxa"/>
            <w:shd w:val="clear" w:color="00000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Default="00A32002" w:rsidP="00A32002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9924059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3235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0.11%</w:t>
            </w:r>
          </w:p>
        </w:tc>
        <w:tc>
          <w:tcPr>
            <w:tcW w:w="2410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c.964G&gt;C</w:t>
            </w:r>
          </w:p>
        </w:tc>
      </w:tr>
      <w:tr w:rsidR="00A32002" w:rsidRPr="00156ED8" w:rsidTr="00C64B9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76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0</w:t>
            </w: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30</w:t>
            </w:r>
            <w:r w:rsidRPr="00156ED8">
              <w:rPr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1411" w:type="dxa"/>
            <w:shd w:val="clear" w:color="00000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Default="00A32002" w:rsidP="00A32002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10050223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0.21%</w:t>
            </w:r>
          </w:p>
        </w:tc>
        <w:tc>
          <w:tcPr>
            <w:tcW w:w="2410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c.964G&gt;C</w:t>
            </w:r>
          </w:p>
        </w:tc>
      </w:tr>
      <w:tr w:rsidR="00A32002" w:rsidRPr="00156ED8" w:rsidTr="00C64B9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76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0</w:t>
            </w: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11" w:type="dxa"/>
            <w:shd w:val="clear" w:color="000000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Default="00A32002" w:rsidP="00A32002">
            <w:pPr>
              <w:wordWrap w:val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10360456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49.96%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48.40%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51.52%</w:t>
            </w:r>
          </w:p>
        </w:tc>
        <w:tc>
          <w:tcPr>
            <w:tcW w:w="2410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c.2113C&gt;T</w:t>
            </w:r>
          </w:p>
        </w:tc>
      </w:tr>
      <w:tr w:rsidR="00A32002" w:rsidRPr="00156ED8" w:rsidTr="00BC75C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76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0</w:t>
            </w: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31</w:t>
            </w:r>
            <w:r w:rsidRPr="00156ED8">
              <w:rPr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1411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10058477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8549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99.95%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99.88%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99.99%</w:t>
            </w:r>
          </w:p>
        </w:tc>
        <w:tc>
          <w:tcPr>
            <w:tcW w:w="2410" w:type="dxa"/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c.2113C&gt;T</w:t>
            </w:r>
          </w:p>
        </w:tc>
      </w:tr>
      <w:tr w:rsidR="00A32002" w:rsidRPr="00156ED8" w:rsidTr="00BC75C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color w:val="000000" w:themeColor="text1"/>
                <w:sz w:val="22"/>
                <w:szCs w:val="22"/>
              </w:rPr>
              <w:t>0</w:t>
            </w: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31</w:t>
            </w:r>
            <w:r w:rsidRPr="00156ED8">
              <w:rPr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blood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10659987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12452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center"/>
              <w:rPr>
                <w:rFonts w:cs="Courier New"/>
                <w:color w:val="000000" w:themeColor="text1"/>
                <w:sz w:val="22"/>
                <w:szCs w:val="22"/>
              </w:rPr>
            </w:pPr>
            <w:r w:rsidRPr="00156ED8">
              <w:rPr>
                <w:rFonts w:cs="Courier New"/>
                <w:color w:val="000000" w:themeColor="text1"/>
                <w:sz w:val="22"/>
                <w:szCs w:val="22"/>
              </w:rPr>
              <w:t>0.04%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2002" w:rsidRPr="00156ED8" w:rsidRDefault="00A32002" w:rsidP="00A3200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56ED8">
              <w:rPr>
                <w:rFonts w:hint="eastAsia"/>
                <w:color w:val="000000" w:themeColor="text1"/>
                <w:sz w:val="22"/>
                <w:szCs w:val="22"/>
              </w:rPr>
              <w:t>c.2113C&gt;T</w:t>
            </w:r>
          </w:p>
        </w:tc>
      </w:tr>
    </w:tbl>
    <w:p w:rsidR="00CB2526" w:rsidRDefault="00CB2526">
      <w:pPr>
        <w:wordWrap w:val="0"/>
        <w:jc w:val="left"/>
        <w:rPr>
          <w:rFonts w:ascii="宋体" w:hAnsi="宋体"/>
          <w:sz w:val="20"/>
          <w:szCs w:val="20"/>
        </w:rPr>
      </w:pPr>
    </w:p>
    <w:p w:rsidR="00A32002" w:rsidRDefault="00A320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2526" w:rsidRDefault="00CB2526">
      <w:pPr>
        <w:wordWrap w:val="0"/>
        <w:rPr>
          <w:sz w:val="24"/>
          <w:szCs w:val="24"/>
        </w:rPr>
      </w:pPr>
    </w:p>
    <w:p w:rsidR="00CB2526" w:rsidRDefault="009F67F8">
      <w:pPr>
        <w:wordWrap w:val="0"/>
        <w:jc w:val="lef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Table S3. Males and females with a mosaic </w:t>
      </w:r>
      <w:r>
        <w:rPr>
          <w:rFonts w:eastAsia="Times New Roman"/>
          <w:i/>
          <w:sz w:val="24"/>
          <w:szCs w:val="24"/>
        </w:rPr>
        <w:t xml:space="preserve">PCDH19 </w:t>
      </w:r>
      <w:r>
        <w:rPr>
          <w:rFonts w:eastAsia="Times New Roman"/>
          <w:sz w:val="24"/>
          <w:szCs w:val="24"/>
        </w:rPr>
        <w:t>variant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397"/>
        <w:gridCol w:w="2005"/>
        <w:gridCol w:w="2977"/>
        <w:gridCol w:w="2534"/>
        <w:gridCol w:w="4784"/>
      </w:tblGrid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Mosaic (Sex)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Analysis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 xml:space="preserve"> variantmutation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Phenotype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Mutant allelic frequency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A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NGS, ddPCR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spacing w:before="60" w:after="60"/>
              <w:jc w:val="left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c.317T&gt;A, p.M106R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81.18% (blood), 98.46% (hair), 79.54% (buccal), 67.43% (nail), 81.16% (saliva), 78.67% (urine)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B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NGS, ddPCR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spacing w:before="60" w:after="60"/>
              <w:jc w:val="left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c.158dupT, p.D54GfsX35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37.08% (blood)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C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Sanger sequencing, ddPCR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spacing w:before="60" w:after="60"/>
              <w:jc w:val="lef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c.370G&gt;A, p.D124N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Asymptomatic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17.09% (blood), 8.39% (buccal), 1.27% (nail), 14.42% (saliva), 3.35% (urine), 19.13% (sperm)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D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Sanger sequencing, ddPCR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spacing w:before="60" w:after="60"/>
              <w:jc w:val="lef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c.488T&gt;G, p.V163G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Asymptomatic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13.23% (blood), 3.51% (hair), 17.81% (buccal), 36.81% (nail), 11.77% (saliva), 22.36% (urine), 15.33% (sperm)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E (female)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ddPCR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spacing w:before="60" w:after="60"/>
              <w:jc w:val="left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c.2341delA, p.I781SfsX19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26.72% (blood)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F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c.1864G &gt; C, p.Gly622Arg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60% (blood)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G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c.840C &gt; G, p.Tyr280X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22% (blood)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H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c.462C &gt; G, p.Tyr154X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65% (blood)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I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c.1682C &gt; G, p.Pro561Arg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78% (blood)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J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c.799G &gt; T, p.Glu267X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20% (blood)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K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Microarray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del PCDH19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100% (lymphocytes), 47% (fibroblasts)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L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Exome sequencing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c.605C &gt; A, p.Ser202X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50% (blood), 70% (buccal cells), 100% (urine sediment)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M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c.918C &gt; G, p.Tyr306X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10% (lymphocytes, saliva, hair)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NGS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c.1352 C &gt; T, p.Pro451Leu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  <w:jc w:val="left"/>
              <w:rPr>
                <w:color w:val="131413"/>
              </w:rPr>
            </w:pPr>
            <w:r>
              <w:rPr>
                <w:rFonts w:eastAsia="Times New Roman"/>
                <w:color w:val="131413"/>
              </w:rPr>
              <w:t>90%(lymphocytes, urine)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O (male)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unknown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c.2147+2T&gt;C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unknown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P (female)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Restriction enzyme analysis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000000"/>
              </w:rPr>
              <w:t>c.74T&gt;C, p.L25P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Asymptomatic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unknown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Q (female)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Sanger sequencing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c.1019A&gt;G, p.N340S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i/>
              </w:rPr>
              <w:t>PCDH19</w:t>
            </w:r>
            <w:r>
              <w:rPr>
                <w:rFonts w:eastAsia="Times New Roman"/>
              </w:rPr>
              <w:t>-related epilepsy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unknown</w:t>
            </w:r>
          </w:p>
        </w:tc>
      </w:tr>
      <w:tr w:rsidR="00CB2526" w:rsidTr="00820F9D">
        <w:tc>
          <w:tcPr>
            <w:tcW w:w="139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L (female)</w:t>
            </w:r>
          </w:p>
        </w:tc>
        <w:tc>
          <w:tcPr>
            <w:tcW w:w="2005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qPCR</w:t>
            </w:r>
          </w:p>
        </w:tc>
        <w:tc>
          <w:tcPr>
            <w:tcW w:w="2977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c.1019A&gt;G, p.N340S</w:t>
            </w:r>
          </w:p>
        </w:tc>
        <w:tc>
          <w:tcPr>
            <w:tcW w:w="253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</w:rPr>
              <w:t>Asymptomatic</w:t>
            </w:r>
          </w:p>
        </w:tc>
        <w:tc>
          <w:tcPr>
            <w:tcW w:w="4784" w:type="dxa"/>
            <w:shd w:val="clear" w:color="auto" w:fill="auto"/>
          </w:tcPr>
          <w:p w:rsidR="00CB2526" w:rsidRDefault="009F67F8">
            <w:pPr>
              <w:wordWrap w:val="0"/>
            </w:pPr>
            <w:r>
              <w:rPr>
                <w:rFonts w:eastAsia="Times New Roman"/>
                <w:color w:val="131413"/>
              </w:rPr>
              <w:t>35-60% (blood, saliva), 0 (urine)</w:t>
            </w:r>
            <w:r>
              <w:rPr>
                <w:rFonts w:eastAsia="等线" w:hAnsi="等线"/>
                <w:color w:val="131413"/>
              </w:rPr>
              <w:t>？</w:t>
            </w:r>
          </w:p>
        </w:tc>
      </w:tr>
    </w:tbl>
    <w:p w:rsidR="00CB2526" w:rsidRDefault="00CB2526">
      <w:pPr>
        <w:wordWrap w:val="0"/>
        <w:jc w:val="left"/>
        <w:rPr>
          <w:rFonts w:ascii="Calibri" w:hAnsi="宋体"/>
        </w:rPr>
      </w:pPr>
    </w:p>
    <w:p w:rsidR="002970A8" w:rsidRDefault="009F67F8">
      <w:pPr>
        <w:wordWrap w:val="0"/>
        <w:jc w:val="left"/>
        <w:sectPr w:rsidR="002970A8" w:rsidSect="002970A8">
          <w:pgSz w:w="16838" w:h="11906" w:orient="landscape"/>
          <w:pgMar w:top="1440" w:right="1440" w:bottom="1440" w:left="1701" w:header="708" w:footer="708" w:gutter="0"/>
          <w:cols w:space="720"/>
          <w:docGrid w:linePitch="360" w:charSpace="6144"/>
        </w:sectPr>
      </w:pPr>
      <w:r>
        <w:br w:type="page"/>
      </w:r>
    </w:p>
    <w:p w:rsidR="00CB2526" w:rsidRDefault="00CB2526">
      <w:pPr>
        <w:wordWrap w:val="0"/>
        <w:jc w:val="left"/>
        <w:rPr>
          <w:rFonts w:ascii="Calibri" w:hAnsi="宋体"/>
        </w:rPr>
      </w:pPr>
    </w:p>
    <w:p w:rsidR="00CB2526" w:rsidRDefault="00BC2761">
      <w:pPr>
        <w:wordWrap w:val="0"/>
        <w:jc w:val="left"/>
        <w:rPr>
          <w:rFonts w:ascii="宋体" w:hAnsi="宋体"/>
          <w:sz w:val="20"/>
          <w:szCs w:val="20"/>
        </w:rPr>
      </w:pPr>
      <w:r>
        <w:rPr>
          <w:rFonts w:ascii="宋体" w:hAnsi="宋体"/>
          <w:noProof/>
          <w:sz w:val="20"/>
          <w:szCs w:val="20"/>
        </w:rPr>
        <w:drawing>
          <wp:inline distT="0" distB="0" distL="0" distR="0">
            <wp:extent cx="5731510" cy="28702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增补图20180826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26" w:rsidRDefault="009F67F8">
      <w:pPr>
        <w:wordWrap w:val="0"/>
        <w:spacing w:line="480" w:lineRule="auto"/>
        <w:jc w:val="center"/>
        <w:rPr>
          <w:rFonts w:ascii="Calibri" w:hAnsi="宋体"/>
          <w:b/>
        </w:rPr>
      </w:pPr>
      <w:r>
        <w:rPr>
          <w:rFonts w:ascii="Calibri" w:hAnsi="宋体"/>
          <w:b/>
        </w:rPr>
        <w:t xml:space="preserve">Disclosure of the ascertainment of 42 patients with </w:t>
      </w:r>
      <w:r>
        <w:rPr>
          <w:rFonts w:ascii="Calibri" w:hAnsi="宋体"/>
          <w:b/>
          <w:i/>
        </w:rPr>
        <w:t>PCDH19</w:t>
      </w:r>
      <w:r>
        <w:rPr>
          <w:rFonts w:ascii="Calibri" w:hAnsi="宋体"/>
          <w:b/>
        </w:rPr>
        <w:t xml:space="preserve"> varia</w:t>
      </w:r>
      <w:r w:rsidR="003209E1">
        <w:rPr>
          <w:rFonts w:ascii="Calibri" w:hAnsi="宋体"/>
          <w:b/>
        </w:rPr>
        <w:t>n</w:t>
      </w:r>
      <w:r>
        <w:rPr>
          <w:rFonts w:ascii="Calibri" w:hAnsi="宋体"/>
          <w:b/>
        </w:rPr>
        <w:t xml:space="preserve">ts in a Chinese population </w:t>
      </w:r>
      <w:r>
        <w:br w:type="page"/>
      </w:r>
    </w:p>
    <w:p w:rsidR="00CB2526" w:rsidRDefault="00DF1F2F">
      <w:pPr>
        <w:wordWrap w:val="0"/>
        <w:spacing w:line="480" w:lineRule="auto"/>
        <w:rPr>
          <w:rFonts w:ascii="宋体" w:hAnsi="宋体"/>
        </w:rPr>
      </w:pPr>
      <w:bookmarkStart w:id="0" w:name="_GoBack"/>
      <w:r>
        <w:rPr>
          <w:rFonts w:ascii="宋体" w:hAnsi="宋体"/>
          <w:noProof/>
        </w:rPr>
        <w:lastRenderedPageBreak/>
        <w:drawing>
          <wp:inline distT="0" distB="0" distL="0" distR="0">
            <wp:extent cx="5731510" cy="33445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增补图20180826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2526" w:rsidRDefault="009F67F8">
      <w:pPr>
        <w:wordWrap w:val="0"/>
        <w:spacing w:line="480" w:lineRule="auto"/>
        <w:jc w:val="center"/>
        <w:rPr>
          <w:rFonts w:ascii="宋体" w:hAnsi="宋体"/>
        </w:rPr>
      </w:pPr>
      <w:r>
        <w:rPr>
          <w:rFonts w:ascii="Calibri" w:hAnsi="宋体"/>
          <w:b/>
          <w:sz w:val="24"/>
          <w:szCs w:val="24"/>
        </w:rPr>
        <w:t>Workflow for the detection of Mosaic Mutations in 42 families</w:t>
      </w:r>
    </w:p>
    <w:sectPr w:rsidR="00CB2526" w:rsidSect="002970A8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81" w:rsidRDefault="00D57581" w:rsidP="002970A8">
      <w:r>
        <w:separator/>
      </w:r>
    </w:p>
  </w:endnote>
  <w:endnote w:type="continuationSeparator" w:id="0">
    <w:p w:rsidR="00D57581" w:rsidRDefault="00D57581" w:rsidP="002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81" w:rsidRDefault="00D57581" w:rsidP="002970A8">
      <w:r>
        <w:separator/>
      </w:r>
    </w:p>
  </w:footnote>
  <w:footnote w:type="continuationSeparator" w:id="0">
    <w:p w:rsidR="00D57581" w:rsidRDefault="00D57581" w:rsidP="0029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16F94BF4-1343-42D3-8EFB-A0A9DB26DD62}"/>
    <w:docVar w:name="KY_MEDREF_VERSION" w:val="3"/>
  </w:docVars>
  <w:rsids>
    <w:rsidRoot w:val="00CB2526"/>
    <w:rsid w:val="00180C33"/>
    <w:rsid w:val="00247E39"/>
    <w:rsid w:val="00281E50"/>
    <w:rsid w:val="002970A8"/>
    <w:rsid w:val="003209E1"/>
    <w:rsid w:val="00367678"/>
    <w:rsid w:val="006B67DF"/>
    <w:rsid w:val="00820F9D"/>
    <w:rsid w:val="009D7B12"/>
    <w:rsid w:val="009F67F8"/>
    <w:rsid w:val="00A32002"/>
    <w:rsid w:val="00BC2761"/>
    <w:rsid w:val="00CA70D2"/>
    <w:rsid w:val="00CB2526"/>
    <w:rsid w:val="00D57581"/>
    <w:rsid w:val="00D76898"/>
    <w:rsid w:val="00DF1F2F"/>
    <w:rsid w:val="00E04D11"/>
    <w:rsid w:val="00E67C1C"/>
    <w:rsid w:val="00E907C9"/>
    <w:rsid w:val="00FB34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5DCA4B-8E10-4CB2-8427-A6CCCF31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Pr>
      <w:rFonts w:eastAsia="Times New Roman"/>
      <w:color w:val="000000"/>
      <w:sz w:val="24"/>
      <w:szCs w:val="24"/>
    </w:rPr>
  </w:style>
  <w:style w:type="paragraph" w:styleId="af1">
    <w:name w:val="header"/>
    <w:basedOn w:val="a"/>
    <w:link w:val="Char"/>
    <w:uiPriority w:val="99"/>
    <w:unhideWhenUsed/>
    <w:rsid w:val="0029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2970A8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29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297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1336</Words>
  <Characters>7619</Characters>
  <Application>Microsoft Office Word</Application>
  <DocSecurity>0</DocSecurity>
  <Lines>63</Lines>
  <Paragraphs>17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爱杰</dc:creator>
  <cp:lastModifiedBy>A</cp:lastModifiedBy>
  <cp:revision>2</cp:revision>
  <dcterms:created xsi:type="dcterms:W3CDTF">2018-08-25T16:30:00Z</dcterms:created>
  <dcterms:modified xsi:type="dcterms:W3CDTF">2018-08-25T16:30:00Z</dcterms:modified>
</cp:coreProperties>
</file>